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noProof/>
          <w:lang w:eastAsia="sk-SK"/>
        </w:rPr>
      </w:pP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3981194" cy="756000"/>
            <wp:effectExtent l="19050" t="0" r="256" b="0"/>
            <wp:docPr id="1" name="Obrázok 5" descr="logoOPK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194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4047342" cy="972000"/>
            <wp:effectExtent l="0" t="0" r="0" b="0"/>
            <wp:docPr id="3" name="Obrázok 3" descr="C:\Users\SkvarkovaMi\Downloads\logo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arkovaMi\Downloads\logo-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42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noProof/>
          <w:lang w:eastAsia="sk-SK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>
      <w:pPr>
        <w:spacing w:after="0" w:line="240" w:lineRule="auto"/>
        <w:jc w:val="center"/>
        <w:rPr>
          <w:rFonts w:asciiTheme="minorHAnsi" w:hAnsiTheme="minorHAnsi"/>
          <w:b/>
          <w:sz w:val="52"/>
          <w:szCs w:val="52"/>
        </w:rPr>
      </w:pPr>
    </w:p>
    <w:p>
      <w:pPr>
        <w:spacing w:after="0" w:line="240" w:lineRule="auto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Projekt je spolufinancovaný Európskou úniou.</w:t>
      </w:r>
    </w:p>
    <w:p>
      <w:pPr>
        <w:spacing w:after="0" w:line="240" w:lineRule="auto"/>
        <w:ind w:left="4245" w:hanging="4245"/>
        <w:jc w:val="both"/>
        <w:rPr>
          <w:rFonts w:asciiTheme="minorHAnsi" w:hAnsiTheme="minorHAnsi"/>
          <w:b/>
          <w:sz w:val="40"/>
          <w:szCs w:val="40"/>
        </w:rPr>
      </w:pPr>
    </w:p>
    <w:p>
      <w:pPr>
        <w:spacing w:after="0" w:line="240" w:lineRule="auto"/>
        <w:ind w:left="4245" w:hanging="4245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hyperlink r:id="rId6" w:history="1">
        <w:r>
          <w:rPr>
            <w:rStyle w:val="Hypertextovprepojenie"/>
            <w:rFonts w:asciiTheme="minorHAnsi" w:hAnsiTheme="minorHAnsi"/>
            <w:b/>
            <w:sz w:val="40"/>
            <w:szCs w:val="40"/>
          </w:rPr>
          <w:t>www.op-kzp.sk</w:t>
        </w:r>
      </w:hyperlink>
    </w:p>
    <w:p>
      <w:pPr>
        <w:spacing w:after="0" w:line="240" w:lineRule="auto"/>
        <w:ind w:left="4245" w:hanging="4245"/>
        <w:jc w:val="both"/>
        <w:rPr>
          <w:rFonts w:asciiTheme="minorHAnsi" w:hAnsiTheme="minorHAnsi"/>
          <w:b/>
          <w:sz w:val="40"/>
          <w:szCs w:val="40"/>
        </w:rPr>
      </w:pPr>
    </w:p>
    <w:p>
      <w:pPr>
        <w:spacing w:after="0" w:line="240" w:lineRule="auto"/>
        <w:ind w:left="4245" w:hanging="4245"/>
        <w:jc w:val="center"/>
        <w:rPr>
          <w:rFonts w:eastAsiaTheme="minorHAnsi" w:cs="Calibri"/>
          <w:b/>
          <w:sz w:val="56"/>
          <w:szCs w:val="56"/>
        </w:rPr>
      </w:pPr>
      <w:bookmarkStart w:id="0" w:name="_GoBack"/>
      <w:bookmarkEnd w:id="0"/>
      <w:r>
        <w:rPr>
          <w:rFonts w:eastAsiaTheme="minorHAnsi" w:cs="Calibri"/>
          <w:b/>
          <w:sz w:val="56"/>
          <w:szCs w:val="56"/>
        </w:rPr>
        <w:t>Rozšírenie zberného dvora Liptovská Lúžna</w:t>
      </w:r>
    </w:p>
    <w:p>
      <w:pPr>
        <w:spacing w:after="0" w:line="240" w:lineRule="auto"/>
        <w:ind w:left="4245" w:hanging="4245"/>
        <w:jc w:val="center"/>
        <w:rPr>
          <w:rFonts w:asciiTheme="minorHAnsi" w:hAnsiTheme="minorHAnsi"/>
          <w:b/>
          <w:sz w:val="40"/>
          <w:szCs w:val="40"/>
        </w:rPr>
      </w:pPr>
    </w:p>
    <w:p>
      <w:pPr>
        <w:spacing w:after="0" w:line="240" w:lineRule="auto"/>
        <w:ind w:left="4245" w:hanging="4245"/>
        <w:rPr>
          <w:rFonts w:asciiTheme="minorHAnsi" w:hAnsiTheme="minorHAnsi"/>
          <w:b/>
          <w:sz w:val="36"/>
          <w:szCs w:val="36"/>
        </w:rPr>
      </w:pPr>
    </w:p>
    <w:p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</w:rPr>
        <w:t>Hlavnou aktivitou projektu je Triedený zber komunálnych odpadov, rámci ktorej dôjde k rozšíreniu zberného dvora a obstaraniu potrebnej techniky.</w:t>
      </w:r>
    </w:p>
    <w:p>
      <w:pPr>
        <w:spacing w:after="0" w:line="240" w:lineRule="auto"/>
        <w:jc w:val="center"/>
        <w:rPr>
          <w:sz w:val="48"/>
          <w:szCs w:val="48"/>
        </w:rPr>
      </w:pPr>
    </w:p>
    <w:p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Cieľom projektu je zvýšenie miery zhodnocovania odpadov prostredníctvom rozšírenia zberného dvora na zber komunálnych odpadov a drobných stavebných odpadov, za účelom zvýšenia kapacity triedeného zberu komunálneho odpadu.</w:t>
      </w:r>
    </w:p>
    <w:p>
      <w:pPr>
        <w:spacing w:after="0" w:line="240" w:lineRule="auto"/>
        <w:jc w:val="center"/>
        <w:rPr>
          <w:sz w:val="48"/>
          <w:szCs w:val="48"/>
        </w:rPr>
      </w:pPr>
    </w:p>
    <w:p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spacing w:after="0" w:line="360" w:lineRule="auto"/>
        <w:jc w:val="center"/>
        <w:rPr>
          <w:rFonts w:eastAsiaTheme="minorHAnsi" w:cs="Calibri"/>
          <w:sz w:val="48"/>
          <w:szCs w:val="48"/>
        </w:rPr>
      </w:pPr>
      <w:r>
        <w:rPr>
          <w:sz w:val="48"/>
          <w:szCs w:val="48"/>
        </w:rPr>
        <w:t xml:space="preserve">Celková výška oprávnených výdavkov: </w:t>
      </w:r>
      <w:r>
        <w:rPr>
          <w:sz w:val="48"/>
          <w:szCs w:val="48"/>
        </w:rPr>
        <w:tab/>
      </w:r>
      <w:r>
        <w:rPr>
          <w:rFonts w:eastAsiaTheme="minorHAnsi" w:cs="Calibri"/>
          <w:sz w:val="48"/>
          <w:szCs w:val="48"/>
        </w:rPr>
        <w:t>264  528,72 EUR</w:t>
      </w:r>
    </w:p>
    <w:p>
      <w:pPr>
        <w:spacing w:after="0" w:line="360" w:lineRule="auto"/>
        <w:jc w:val="center"/>
        <w:rPr>
          <w:rFonts w:eastAsiaTheme="minorHAnsi" w:cs="Calibri"/>
          <w:b/>
          <w:sz w:val="48"/>
          <w:szCs w:val="48"/>
        </w:rPr>
      </w:pPr>
      <w:r>
        <w:rPr>
          <w:rFonts w:eastAsiaTheme="minorHAnsi" w:cs="Calibri"/>
          <w:b/>
          <w:sz w:val="48"/>
          <w:szCs w:val="48"/>
        </w:rPr>
        <w:t>Výška nenávratného finančného príspevku: 251  302,28 EUR</w:t>
      </w:r>
    </w:p>
    <w:p>
      <w:pPr>
        <w:spacing w:after="0" w:line="360" w:lineRule="auto"/>
        <w:jc w:val="center"/>
        <w:rPr>
          <w:sz w:val="48"/>
          <w:szCs w:val="48"/>
        </w:rPr>
      </w:pPr>
    </w:p>
    <w:sectPr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2EC0-84D9-4097-BC1E-84EE1C3E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Zajvaldová Michaela</cp:lastModifiedBy>
  <cp:revision>10</cp:revision>
  <cp:lastPrinted>2020-01-27T11:29:00Z</cp:lastPrinted>
  <dcterms:created xsi:type="dcterms:W3CDTF">2019-01-24T13:51:00Z</dcterms:created>
  <dcterms:modified xsi:type="dcterms:W3CDTF">2021-06-08T12:18:00Z</dcterms:modified>
</cp:coreProperties>
</file>